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F54F" w14:textId="77777777" w:rsidR="00086D4F" w:rsidRDefault="00395A6C" w:rsidP="00086D4F">
      <w:pPr>
        <w:pStyle w:val="Title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Borough of Avalon</w:t>
      </w:r>
    </w:p>
    <w:p w14:paraId="10929D9C" w14:textId="77777777" w:rsidR="008959FE" w:rsidRDefault="00395A6C" w:rsidP="00086D4F">
      <w:pPr>
        <w:pStyle w:val="Subtitl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Cape</w:t>
      </w:r>
      <w:r w:rsidR="00086D4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May County</w:t>
      </w:r>
    </w:p>
    <w:p w14:paraId="63B52F34" w14:textId="77777777" w:rsidR="00086D4F" w:rsidRDefault="008959FE" w:rsidP="00086D4F">
      <w:pPr>
        <w:pStyle w:val="Subtitl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Avalon, </w:t>
      </w:r>
      <w:r w:rsidR="00395A6C">
        <w:rPr>
          <w:rFonts w:ascii="Tahoma" w:hAnsi="Tahoma" w:cs="Tahoma"/>
          <w:sz w:val="20"/>
        </w:rPr>
        <w:t>New Jersey</w:t>
      </w:r>
      <w:r>
        <w:rPr>
          <w:rFonts w:ascii="Tahoma" w:hAnsi="Tahoma" w:cs="Tahoma"/>
          <w:sz w:val="20"/>
        </w:rPr>
        <w:t xml:space="preserve"> 08202</w:t>
      </w:r>
    </w:p>
    <w:p w14:paraId="38E0CD4F" w14:textId="77777777" w:rsidR="00086D4F" w:rsidRPr="009F2956" w:rsidRDefault="00086D4F" w:rsidP="00086D4F">
      <w:pPr>
        <w:tabs>
          <w:tab w:val="left" w:pos="720"/>
          <w:tab w:val="left" w:pos="1080"/>
          <w:tab w:val="left" w:pos="1440"/>
        </w:tabs>
        <w:rPr>
          <w:b/>
        </w:rPr>
      </w:pPr>
    </w:p>
    <w:p w14:paraId="23312D5D" w14:textId="77777777" w:rsidR="00086D4F" w:rsidRPr="00A044A9" w:rsidRDefault="00086D4F" w:rsidP="00086D4F">
      <w:pPr>
        <w:jc w:val="center"/>
        <w:rPr>
          <w:rStyle w:val="Strong"/>
          <w:rFonts w:cs="Tahoma"/>
        </w:rPr>
      </w:pPr>
      <w:r w:rsidRPr="00A044A9">
        <w:rPr>
          <w:rStyle w:val="Strong"/>
          <w:rFonts w:cs="Tahoma"/>
        </w:rPr>
        <w:t>Noti</w:t>
      </w:r>
      <w:r w:rsidR="0021268E" w:rsidRPr="00A044A9">
        <w:rPr>
          <w:rStyle w:val="Strong"/>
          <w:rFonts w:cs="Tahoma"/>
        </w:rPr>
        <w:t xml:space="preserve">ce of Intent to Award </w:t>
      </w:r>
      <w:r w:rsidR="00325498">
        <w:rPr>
          <w:rStyle w:val="Strong"/>
          <w:rFonts w:cs="Tahoma"/>
        </w:rPr>
        <w:t>a Contract U</w:t>
      </w:r>
      <w:r w:rsidRPr="00A044A9">
        <w:rPr>
          <w:rStyle w:val="Strong"/>
          <w:rFonts w:cs="Tahoma"/>
        </w:rPr>
        <w:t>nder a National Cooperative Purchasing Agreement</w:t>
      </w:r>
    </w:p>
    <w:p w14:paraId="30A5FE36" w14:textId="46DD2AE2" w:rsidR="00526AF8" w:rsidRDefault="00325498" w:rsidP="00526AF8">
      <w:pPr>
        <w:jc w:val="center"/>
        <w:rPr>
          <w:rFonts w:cs="Tahoma"/>
          <w:b/>
        </w:rPr>
      </w:pPr>
      <w:r>
        <w:rPr>
          <w:rFonts w:cs="Tahoma"/>
          <w:b/>
        </w:rPr>
        <w:t>With Sourcewell f</w:t>
      </w:r>
      <w:r w:rsidR="00A718C1">
        <w:rPr>
          <w:rFonts w:cs="Tahoma"/>
          <w:b/>
        </w:rPr>
        <w:t xml:space="preserve">or </w:t>
      </w:r>
      <w:r w:rsidR="00DB5913">
        <w:rPr>
          <w:rFonts w:cs="Tahoma"/>
          <w:b/>
        </w:rPr>
        <w:t>New &amp; Used Construction &amp; Paving Equipment, Parts, Service &amp; Rental</w:t>
      </w:r>
    </w:p>
    <w:p w14:paraId="6B1624A6" w14:textId="77777777" w:rsidR="00526AF8" w:rsidRPr="00526AF8" w:rsidRDefault="00526AF8" w:rsidP="00526AF8">
      <w:pPr>
        <w:jc w:val="center"/>
        <w:rPr>
          <w:rFonts w:cs="Tahoma"/>
          <w:b/>
        </w:rPr>
      </w:pPr>
    </w:p>
    <w:p w14:paraId="4B88D5A3" w14:textId="20A7457F" w:rsidR="00086D4F" w:rsidRPr="008C11BF" w:rsidRDefault="00395A6C" w:rsidP="008C11BF">
      <w:pPr>
        <w:rPr>
          <w:rFonts w:cs="Tahoma"/>
          <w:b/>
        </w:rPr>
      </w:pPr>
      <w:r>
        <w:t>The Borough of Avalon</w:t>
      </w:r>
      <w:r w:rsidR="00086D4F" w:rsidRPr="00912A8B">
        <w:t xml:space="preserve"> intends to participate in </w:t>
      </w:r>
      <w:r w:rsidR="00086D4F">
        <w:t xml:space="preserve">the </w:t>
      </w:r>
      <w:r w:rsidR="00A718C1">
        <w:t xml:space="preserve">Sourcewell </w:t>
      </w:r>
      <w:r w:rsidR="008C11BF">
        <w:t>C</w:t>
      </w:r>
      <w:r w:rsidR="00086D4F">
        <w:t xml:space="preserve">ontract </w:t>
      </w:r>
      <w:r w:rsidR="008C11BF">
        <w:t>#</w:t>
      </w:r>
      <w:r w:rsidR="00DB5913">
        <w:t>032119-CAT</w:t>
      </w:r>
      <w:r w:rsidR="008C11BF">
        <w:t xml:space="preserve"> </w:t>
      </w:r>
      <w:r w:rsidR="00086D4F" w:rsidRPr="00526AF8">
        <w:t>for</w:t>
      </w:r>
      <w:r w:rsidR="00B24E29" w:rsidRPr="00B24E29">
        <w:rPr>
          <w:rFonts w:cs="Tahoma"/>
          <w:b/>
        </w:rPr>
        <w:t xml:space="preserve"> </w:t>
      </w:r>
      <w:r w:rsidR="00DB5913">
        <w:rPr>
          <w:rFonts w:cs="Tahoma"/>
        </w:rPr>
        <w:t>New &amp; Used Construction &amp; Paving Equipment, Parts, Service &amp; Rental</w:t>
      </w:r>
      <w:r w:rsidR="00543B90">
        <w:rPr>
          <w:rFonts w:cs="Tahoma"/>
        </w:rPr>
        <w:t xml:space="preserve"> </w:t>
      </w:r>
      <w:r>
        <w:t>to secure</w:t>
      </w:r>
      <w:r w:rsidR="003F524F">
        <w:t xml:space="preserve"> </w:t>
      </w:r>
      <w:r w:rsidR="00DB5913">
        <w:t>rental of various equipment, as described below,</w:t>
      </w:r>
      <w:r w:rsidR="00543B90">
        <w:t xml:space="preserve"> </w:t>
      </w:r>
      <w:r>
        <w:t>for the Borough</w:t>
      </w:r>
      <w:r w:rsidR="00DB5913">
        <w:t>’s use during the 2021 beach backpassing project</w:t>
      </w:r>
      <w:r w:rsidR="00086D4F" w:rsidRPr="009C7CE5">
        <w:t>.</w:t>
      </w:r>
    </w:p>
    <w:p w14:paraId="5B78A641" w14:textId="77777777" w:rsidR="00732841" w:rsidRPr="009C7CE5" w:rsidRDefault="00732841" w:rsidP="00EC1753"/>
    <w:p w14:paraId="3E8EF5DD" w14:textId="155499B1" w:rsidR="00086D4F" w:rsidRDefault="00086D4F" w:rsidP="00086D4F">
      <w:r w:rsidRPr="00912A8B">
        <w:t>Information regarding this contract may be found</w:t>
      </w:r>
      <w:r w:rsidR="00395A6C">
        <w:t xml:space="preserve"> at the Borough of Avalon, 3100 Dune Drive, Borough Hall, Business Administrator’s </w:t>
      </w:r>
      <w:r w:rsidRPr="00912A8B">
        <w:t>Office, Monday through Friday exc</w:t>
      </w:r>
      <w:r w:rsidR="00395A6C">
        <w:t xml:space="preserve">ept legal holidays, from </w:t>
      </w:r>
      <w:r w:rsidR="00DB5913">
        <w:t>8</w:t>
      </w:r>
      <w:r w:rsidR="00395A6C">
        <w:t>:</w:t>
      </w:r>
      <w:r w:rsidR="00DB5913">
        <w:t>15</w:t>
      </w:r>
      <w:r w:rsidR="0021268E">
        <w:t xml:space="preserve"> AM to 4:</w:t>
      </w:r>
      <w:r w:rsidR="00DB5913">
        <w:t>15</w:t>
      </w:r>
      <w:r w:rsidR="0021268E">
        <w:t xml:space="preserve"> PM,</w:t>
      </w:r>
      <w:r w:rsidRPr="00912A8B">
        <w:t xml:space="preserve"> as well as through the </w:t>
      </w:r>
      <w:r w:rsidR="00A718C1">
        <w:t>Sourcewell</w:t>
      </w:r>
      <w:r>
        <w:t xml:space="preserve"> </w:t>
      </w:r>
      <w:r w:rsidRPr="00912A8B">
        <w:t xml:space="preserve">website </w:t>
      </w:r>
      <w:r w:rsidR="008C11BF">
        <w:t>@ www.sourcewell-mn.gov</w:t>
      </w:r>
    </w:p>
    <w:p w14:paraId="0D7AE87E" w14:textId="77777777" w:rsidR="00086D4F" w:rsidRPr="00912A8B" w:rsidRDefault="00086D4F" w:rsidP="00086D4F"/>
    <w:p w14:paraId="3F35EF02" w14:textId="214C50B3" w:rsidR="00086D4F" w:rsidRPr="00912A8B" w:rsidRDefault="00395A6C" w:rsidP="004F191B">
      <w:pPr>
        <w:autoSpaceDE w:val="0"/>
        <w:autoSpaceDN w:val="0"/>
        <w:adjustRightInd w:val="0"/>
      </w:pPr>
      <w:r>
        <w:rPr>
          <w:rFonts w:cs="Tahoma"/>
        </w:rPr>
        <w:t>The Borough of Avalon</w:t>
      </w:r>
      <w:r w:rsidR="00086D4F" w:rsidRPr="009C7CE5">
        <w:rPr>
          <w:rFonts w:cs="Tahoma"/>
        </w:rPr>
        <w:t xml:space="preserve"> anticipates utilizing the</w:t>
      </w:r>
      <w:r w:rsidR="001345FC" w:rsidRPr="001345FC">
        <w:t xml:space="preserve"> </w:t>
      </w:r>
      <w:r w:rsidR="008C11BF">
        <w:t>Sourcewell</w:t>
      </w:r>
      <w:r w:rsidR="001345FC" w:rsidRPr="009C7CE5">
        <w:rPr>
          <w:rFonts w:cs="Tahoma"/>
        </w:rPr>
        <w:t xml:space="preserve"> </w:t>
      </w:r>
      <w:r w:rsidR="00086D4F" w:rsidRPr="009C7CE5">
        <w:rPr>
          <w:rFonts w:cs="Tahoma"/>
        </w:rPr>
        <w:t xml:space="preserve">contract on </w:t>
      </w:r>
      <w:r w:rsidR="00543B90">
        <w:rPr>
          <w:rFonts w:cs="Tahoma"/>
        </w:rPr>
        <w:t>0</w:t>
      </w:r>
      <w:r w:rsidR="00DB5913">
        <w:rPr>
          <w:rFonts w:cs="Tahoma"/>
        </w:rPr>
        <w:t>4</w:t>
      </w:r>
      <w:r w:rsidR="00086D4F" w:rsidRPr="009C7CE5">
        <w:rPr>
          <w:rFonts w:cs="Tahoma"/>
        </w:rPr>
        <w:t>/</w:t>
      </w:r>
      <w:r w:rsidR="005B6EC5">
        <w:rPr>
          <w:rFonts w:cs="Tahoma"/>
        </w:rPr>
        <w:t>1</w:t>
      </w:r>
      <w:r w:rsidR="00DB5913">
        <w:rPr>
          <w:rFonts w:cs="Tahoma"/>
        </w:rPr>
        <w:t>9</w:t>
      </w:r>
      <w:r w:rsidR="008C11BF">
        <w:rPr>
          <w:rFonts w:cs="Tahoma"/>
        </w:rPr>
        <w:t>/202</w:t>
      </w:r>
      <w:r w:rsidR="00DB5913">
        <w:rPr>
          <w:rFonts w:cs="Tahoma"/>
        </w:rPr>
        <w:t>1</w:t>
      </w:r>
      <w:r w:rsidR="00A718C1">
        <w:rPr>
          <w:rFonts w:cs="Tahoma"/>
        </w:rPr>
        <w:t>. The current Sourcewell</w:t>
      </w:r>
      <w:r w:rsidR="00086D4F" w:rsidRPr="009C7CE5">
        <w:rPr>
          <w:rFonts w:cs="Tahoma"/>
        </w:rPr>
        <w:t xml:space="preserve"> </w:t>
      </w:r>
      <w:r w:rsidR="00C42446">
        <w:rPr>
          <w:rFonts w:cs="Tahoma"/>
        </w:rPr>
        <w:t>c</w:t>
      </w:r>
      <w:r w:rsidR="00086D4F" w:rsidRPr="009C7CE5">
        <w:rPr>
          <w:rFonts w:cs="Tahoma"/>
        </w:rPr>
        <w:t>ontract term for</w:t>
      </w:r>
      <w:r w:rsidR="00C42446" w:rsidRPr="00C42446">
        <w:rPr>
          <w:rFonts w:cs="Tahoma"/>
        </w:rPr>
        <w:t xml:space="preserve"> </w:t>
      </w:r>
      <w:r w:rsidR="00543B90">
        <w:rPr>
          <w:rFonts w:cs="Tahoma"/>
        </w:rPr>
        <w:t>Contract</w:t>
      </w:r>
      <w:r w:rsidR="008F1CE1">
        <w:rPr>
          <w:rFonts w:cs="Tahoma"/>
        </w:rPr>
        <w:t>#</w:t>
      </w:r>
      <w:r w:rsidR="00DB5913">
        <w:rPr>
          <w:rFonts w:cs="Tahoma"/>
        </w:rPr>
        <w:t>032119-CAT</w:t>
      </w:r>
      <w:r w:rsidR="00086D4F" w:rsidRPr="009C7CE5">
        <w:rPr>
          <w:rFonts w:cs="Tahoma"/>
          <w:kern w:val="0"/>
        </w:rPr>
        <w:t xml:space="preserve"> </w:t>
      </w:r>
      <w:r w:rsidR="00086D4F" w:rsidRPr="00912A8B">
        <w:t xml:space="preserve">is </w:t>
      </w:r>
      <w:r w:rsidR="00DB5913">
        <w:t>05/13/2019 – 05/13/2023</w:t>
      </w:r>
      <w:r w:rsidR="00086D4F" w:rsidRPr="00912A8B">
        <w:t>.</w:t>
      </w:r>
    </w:p>
    <w:p w14:paraId="131EF346" w14:textId="77777777" w:rsidR="00086D4F" w:rsidRPr="00912A8B" w:rsidRDefault="00086D4F" w:rsidP="00086D4F"/>
    <w:p w14:paraId="25678C37" w14:textId="136998E7" w:rsidR="00086D4F" w:rsidRDefault="00086D4F" w:rsidP="00086D4F">
      <w:pPr>
        <w:rPr>
          <w:rFonts w:cs="Tahoma"/>
        </w:rPr>
      </w:pPr>
      <w:r w:rsidRPr="00912A8B">
        <w:t xml:space="preserve">It is the </w:t>
      </w:r>
      <w:r w:rsidR="00395A6C">
        <w:t>intent of the Borough of Avalon, NJ to make a con</w:t>
      </w:r>
      <w:r w:rsidR="00A718C1">
        <w:t xml:space="preserve">tract award to </w:t>
      </w:r>
      <w:r w:rsidR="00DB5913">
        <w:t>Caterpillar, Inc., 100 NE Adams Street, Peoria, IL 61629</w:t>
      </w:r>
      <w:r w:rsidR="00C42446">
        <w:t xml:space="preserve"> </w:t>
      </w:r>
      <w:r w:rsidRPr="00912A8B">
        <w:t>as needed and determined in the best in</w:t>
      </w:r>
      <w:r w:rsidR="00395A6C">
        <w:t>terest of the Borough of Avalon</w:t>
      </w:r>
      <w:r w:rsidRPr="00912A8B">
        <w:t xml:space="preserve">, NJ </w:t>
      </w:r>
      <w:r>
        <w:t xml:space="preserve">and </w:t>
      </w:r>
      <w:r w:rsidRPr="00912A8B">
        <w:t xml:space="preserve">to </w:t>
      </w:r>
      <w:r>
        <w:t xml:space="preserve">utilize </w:t>
      </w:r>
      <w:r w:rsidR="00A718C1">
        <w:t>Sour</w:t>
      </w:r>
      <w:r w:rsidR="00F94407">
        <w:t>c</w:t>
      </w:r>
      <w:r w:rsidR="00A718C1">
        <w:t>ewell</w:t>
      </w:r>
      <w:r w:rsidRPr="00912A8B">
        <w:t xml:space="preserve"> Vendors, pursuant to the proposal submitted in response to the </w:t>
      </w:r>
      <w:r w:rsidR="00A718C1">
        <w:t>Sour</w:t>
      </w:r>
      <w:r w:rsidR="00F94407">
        <w:t>c</w:t>
      </w:r>
      <w:r w:rsidR="00A718C1">
        <w:t>ewell</w:t>
      </w:r>
      <w:r>
        <w:t xml:space="preserve"> </w:t>
      </w:r>
      <w:r w:rsidR="008C11BF">
        <w:t>Contract #</w:t>
      </w:r>
      <w:r w:rsidR="00DB5913">
        <w:t>032119-CAT</w:t>
      </w:r>
      <w:r w:rsidR="008C11BF">
        <w:t xml:space="preserve"> </w:t>
      </w:r>
      <w:r w:rsidR="008C11BF" w:rsidRPr="00526AF8">
        <w:t>for</w:t>
      </w:r>
      <w:r w:rsidR="008C11BF" w:rsidRPr="00B24E29">
        <w:rPr>
          <w:rFonts w:cs="Tahoma"/>
          <w:b/>
        </w:rPr>
        <w:t xml:space="preserve"> </w:t>
      </w:r>
      <w:r w:rsidR="00DB5913">
        <w:rPr>
          <w:rFonts w:cs="Tahoma"/>
        </w:rPr>
        <w:t>New &amp; Used Construction &amp; Paving Equipment, Parts, Service &amp; Rental</w:t>
      </w:r>
      <w:r w:rsidR="004F191B">
        <w:rPr>
          <w:rFonts w:cs="Tahoma"/>
        </w:rPr>
        <w:t>.</w:t>
      </w:r>
    </w:p>
    <w:p w14:paraId="0FB3CB47" w14:textId="7F8A12D2" w:rsidR="00DB5913" w:rsidRDefault="00DB5913" w:rsidP="00086D4F">
      <w:pPr>
        <w:rPr>
          <w:rFonts w:cs="Tahoma"/>
        </w:rPr>
      </w:pPr>
    </w:p>
    <w:p w14:paraId="6F00ECAF" w14:textId="78C80073" w:rsidR="00DB5913" w:rsidRDefault="00DB5913" w:rsidP="00086D4F">
      <w:pPr>
        <w:rPr>
          <w:rFonts w:cs="Tahoma"/>
        </w:rPr>
      </w:pPr>
      <w:r>
        <w:rPr>
          <w:rFonts w:cs="Tahoma"/>
        </w:rPr>
        <w:t>The Borough of Avalon intends to secure rental of the following equipment from the awarded contract vendor as described in this Public Notice:</w:t>
      </w:r>
    </w:p>
    <w:p w14:paraId="4B8750AC" w14:textId="212EBDAA" w:rsidR="00DB5913" w:rsidRDefault="00DB5913" w:rsidP="00086D4F">
      <w:pPr>
        <w:rPr>
          <w:rFonts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1677"/>
        <w:gridCol w:w="1088"/>
      </w:tblGrid>
      <w:tr w:rsidR="00DB5913" w:rsidRPr="00DB5913" w14:paraId="42081188" w14:textId="77777777" w:rsidTr="00DB5913">
        <w:trPr>
          <w:jc w:val="center"/>
        </w:trPr>
        <w:tc>
          <w:tcPr>
            <w:tcW w:w="0" w:type="auto"/>
          </w:tcPr>
          <w:p w14:paraId="067325BB" w14:textId="6B9D77CA" w:rsidR="00DB5913" w:rsidRPr="00DB5913" w:rsidRDefault="00DB5913" w:rsidP="00DB5913">
            <w:pPr>
              <w:jc w:val="center"/>
              <w:rPr>
                <w:rFonts w:cs="Tahoma"/>
                <w:b/>
                <w:u w:val="single"/>
              </w:rPr>
            </w:pPr>
            <w:r w:rsidRPr="00DB5913">
              <w:rPr>
                <w:rFonts w:cs="Tahoma"/>
                <w:b/>
                <w:u w:val="single"/>
              </w:rPr>
              <w:t>Item</w:t>
            </w:r>
          </w:p>
        </w:tc>
        <w:tc>
          <w:tcPr>
            <w:tcW w:w="0" w:type="auto"/>
          </w:tcPr>
          <w:p w14:paraId="0A7B2578" w14:textId="38A1ABF0" w:rsidR="00DB5913" w:rsidRPr="00DB5913" w:rsidRDefault="00DB5913" w:rsidP="00DB5913">
            <w:pPr>
              <w:jc w:val="center"/>
              <w:rPr>
                <w:rFonts w:cs="Tahoma"/>
                <w:b/>
                <w:u w:val="single"/>
              </w:rPr>
            </w:pPr>
            <w:r w:rsidRPr="00DB5913">
              <w:rPr>
                <w:rFonts w:cs="Tahoma"/>
                <w:b/>
                <w:u w:val="single"/>
              </w:rPr>
              <w:t>Notes</w:t>
            </w:r>
          </w:p>
        </w:tc>
        <w:tc>
          <w:tcPr>
            <w:tcW w:w="0" w:type="auto"/>
          </w:tcPr>
          <w:p w14:paraId="3159185A" w14:textId="1C935BE8" w:rsidR="00DB5913" w:rsidRPr="00DB5913" w:rsidRDefault="00DB5913" w:rsidP="00DB5913">
            <w:pPr>
              <w:jc w:val="center"/>
              <w:rPr>
                <w:rFonts w:cs="Tahoma"/>
                <w:b/>
                <w:u w:val="single"/>
              </w:rPr>
            </w:pPr>
            <w:r w:rsidRPr="00DB5913">
              <w:rPr>
                <w:rFonts w:cs="Tahoma"/>
                <w:b/>
                <w:u w:val="single"/>
              </w:rPr>
              <w:t>Quantity</w:t>
            </w:r>
          </w:p>
        </w:tc>
      </w:tr>
      <w:tr w:rsidR="00DB5913" w14:paraId="34846880" w14:textId="77777777" w:rsidTr="00DB5913">
        <w:trPr>
          <w:jc w:val="center"/>
        </w:trPr>
        <w:tc>
          <w:tcPr>
            <w:tcW w:w="0" w:type="auto"/>
          </w:tcPr>
          <w:p w14:paraId="63967A18" w14:textId="405A1D65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D6 Bulldozer</w:t>
            </w:r>
          </w:p>
        </w:tc>
        <w:tc>
          <w:tcPr>
            <w:tcW w:w="0" w:type="auto"/>
          </w:tcPr>
          <w:p w14:paraId="1ED6C9CE" w14:textId="7A4FF460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LGP Push Blade</w:t>
            </w:r>
          </w:p>
        </w:tc>
        <w:tc>
          <w:tcPr>
            <w:tcW w:w="0" w:type="auto"/>
          </w:tcPr>
          <w:p w14:paraId="3108AA92" w14:textId="685F111E" w:rsidR="00DB5913" w:rsidRDefault="00DB5913" w:rsidP="00DB5913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</w:p>
        </w:tc>
      </w:tr>
      <w:tr w:rsidR="00DB5913" w14:paraId="6877F505" w14:textId="77777777" w:rsidTr="00DB5913">
        <w:trPr>
          <w:jc w:val="center"/>
        </w:trPr>
        <w:tc>
          <w:tcPr>
            <w:tcW w:w="0" w:type="auto"/>
          </w:tcPr>
          <w:p w14:paraId="56A9B896" w14:textId="6137822F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D6T Bulldozer</w:t>
            </w:r>
          </w:p>
        </w:tc>
        <w:tc>
          <w:tcPr>
            <w:tcW w:w="0" w:type="auto"/>
          </w:tcPr>
          <w:p w14:paraId="481B3446" w14:textId="0C90BF8C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LGP Push Blade</w:t>
            </w:r>
          </w:p>
        </w:tc>
        <w:tc>
          <w:tcPr>
            <w:tcW w:w="0" w:type="auto"/>
          </w:tcPr>
          <w:p w14:paraId="56B13CD7" w14:textId="28111CCD" w:rsidR="00DB5913" w:rsidRDefault="00DB5913" w:rsidP="00DB5913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</w:p>
        </w:tc>
      </w:tr>
      <w:tr w:rsidR="00DB5913" w14:paraId="053FFCEC" w14:textId="77777777" w:rsidTr="00DB5913">
        <w:trPr>
          <w:jc w:val="center"/>
        </w:trPr>
        <w:tc>
          <w:tcPr>
            <w:tcW w:w="0" w:type="auto"/>
          </w:tcPr>
          <w:p w14:paraId="5CFFB6C1" w14:textId="6A85E712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D6 Bulldozer</w:t>
            </w:r>
          </w:p>
        </w:tc>
        <w:tc>
          <w:tcPr>
            <w:tcW w:w="0" w:type="auto"/>
          </w:tcPr>
          <w:p w14:paraId="5912E034" w14:textId="5782C6F8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LGP Finish Blade</w:t>
            </w:r>
          </w:p>
        </w:tc>
        <w:tc>
          <w:tcPr>
            <w:tcW w:w="0" w:type="auto"/>
          </w:tcPr>
          <w:p w14:paraId="44301FC7" w14:textId="4F17F7B4" w:rsidR="00DB5913" w:rsidRDefault="00DB5913" w:rsidP="00DB5913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</w:p>
        </w:tc>
      </w:tr>
      <w:tr w:rsidR="00DB5913" w14:paraId="0B981A6F" w14:textId="77777777" w:rsidTr="00DB5913">
        <w:trPr>
          <w:jc w:val="center"/>
        </w:trPr>
        <w:tc>
          <w:tcPr>
            <w:tcW w:w="0" w:type="auto"/>
          </w:tcPr>
          <w:p w14:paraId="02D6A53B" w14:textId="37D6CE9D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Wheel Loader</w:t>
            </w:r>
          </w:p>
        </w:tc>
        <w:tc>
          <w:tcPr>
            <w:tcW w:w="0" w:type="auto"/>
          </w:tcPr>
          <w:p w14:paraId="7F8D8473" w14:textId="636141A4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 CY Bucket</w:t>
            </w:r>
          </w:p>
        </w:tc>
        <w:tc>
          <w:tcPr>
            <w:tcW w:w="0" w:type="auto"/>
          </w:tcPr>
          <w:p w14:paraId="731F1C93" w14:textId="252015CF" w:rsidR="00DB5913" w:rsidRDefault="00DB5913" w:rsidP="00DB5913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</w:tr>
      <w:tr w:rsidR="00DB5913" w14:paraId="6D6B7175" w14:textId="77777777" w:rsidTr="00DB5913">
        <w:trPr>
          <w:jc w:val="center"/>
        </w:trPr>
        <w:tc>
          <w:tcPr>
            <w:tcW w:w="0" w:type="auto"/>
          </w:tcPr>
          <w:p w14:paraId="653ABE82" w14:textId="09B35E4D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 Road Dump Truck</w:t>
            </w:r>
          </w:p>
        </w:tc>
        <w:tc>
          <w:tcPr>
            <w:tcW w:w="0" w:type="auto"/>
          </w:tcPr>
          <w:p w14:paraId="19AB652F" w14:textId="28913951" w:rsidR="00DB5913" w:rsidRDefault="00DB5913" w:rsidP="00086D4F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30-45 Ton</w:t>
            </w:r>
          </w:p>
        </w:tc>
        <w:tc>
          <w:tcPr>
            <w:tcW w:w="0" w:type="auto"/>
          </w:tcPr>
          <w:p w14:paraId="5F557B63" w14:textId="6650AB38" w:rsidR="00DB5913" w:rsidRDefault="00DB5913" w:rsidP="00DB5913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</w:t>
            </w:r>
          </w:p>
        </w:tc>
      </w:tr>
    </w:tbl>
    <w:p w14:paraId="107ACDE9" w14:textId="77777777" w:rsidR="004F191B" w:rsidRPr="00912A8B" w:rsidRDefault="004F191B" w:rsidP="00086D4F"/>
    <w:p w14:paraId="523A1266" w14:textId="77777777" w:rsidR="00086D4F" w:rsidRPr="00912A8B" w:rsidRDefault="008959FE" w:rsidP="00086D4F">
      <w:r>
        <w:t>The Borough of Avalon</w:t>
      </w:r>
      <w:r w:rsidR="00086D4F" w:rsidRPr="00912A8B">
        <w:t xml:space="preserve"> is permitted to join national cooperative purchasing agreements under the authority of N.J.S.A. 52:34-6.2(b)(3).</w:t>
      </w:r>
    </w:p>
    <w:p w14:paraId="18E0BA15" w14:textId="77777777" w:rsidR="00086D4F" w:rsidRDefault="00086D4F" w:rsidP="00086D4F"/>
    <w:p w14:paraId="004F881B" w14:textId="590C86E7" w:rsidR="00086D4F" w:rsidRPr="004677BA" w:rsidRDefault="008959FE" w:rsidP="00086D4F">
      <w:r>
        <w:t>The c</w:t>
      </w:r>
      <w:r w:rsidR="00086D4F" w:rsidRPr="004677BA">
        <w:t xml:space="preserve">omment period ends </w:t>
      </w:r>
      <w:r w:rsidR="00325498">
        <w:t>0</w:t>
      </w:r>
      <w:r w:rsidR="00DB5913">
        <w:t>4</w:t>
      </w:r>
      <w:r w:rsidR="00086D4F" w:rsidRPr="004677BA">
        <w:t>/</w:t>
      </w:r>
      <w:r w:rsidR="00DB5913">
        <w:t>19</w:t>
      </w:r>
      <w:r w:rsidR="00A718C1">
        <w:t>/202</w:t>
      </w:r>
      <w:r w:rsidR="00DB5913">
        <w:t>1</w:t>
      </w:r>
      <w:r w:rsidR="00086D4F" w:rsidRPr="004677BA">
        <w:t>.</w:t>
      </w:r>
    </w:p>
    <w:p w14:paraId="5AD9A7C3" w14:textId="4E25C1E0" w:rsidR="00A718C1" w:rsidRDefault="00A718C1" w:rsidP="00086D4F">
      <w:pPr>
        <w:rPr>
          <w:rFonts w:cs="Tahoma"/>
          <w:color w:val="484848"/>
        </w:rPr>
      </w:pPr>
    </w:p>
    <w:p w14:paraId="6B05B7F8" w14:textId="77777777" w:rsidR="00086D4F" w:rsidRDefault="00086D4F" w:rsidP="00086D4F">
      <w:pPr>
        <w:tabs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>Joseph S. Clark, QPA</w:t>
      </w:r>
    </w:p>
    <w:p w14:paraId="556F8DC5" w14:textId="77777777" w:rsidR="00086D4F" w:rsidRDefault="008959FE" w:rsidP="00086D4F">
      <w:pPr>
        <w:tabs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>Borough Purchasing Agent</w:t>
      </w:r>
    </w:p>
    <w:p w14:paraId="339E8EF7" w14:textId="77777777" w:rsidR="00F94407" w:rsidRDefault="00F94407" w:rsidP="00086D4F">
      <w:pPr>
        <w:tabs>
          <w:tab w:val="left" w:pos="720"/>
          <w:tab w:val="left" w:pos="1080"/>
          <w:tab w:val="left" w:pos="1440"/>
        </w:tabs>
        <w:rPr>
          <w:b/>
        </w:rPr>
      </w:pPr>
    </w:p>
    <w:p w14:paraId="64DF6FBF" w14:textId="12663418" w:rsidR="00F94407" w:rsidRDefault="00F94407" w:rsidP="00086D4F">
      <w:pPr>
        <w:tabs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 xml:space="preserve">Publication Date:  </w:t>
      </w:r>
      <w:r w:rsidR="00DB5913">
        <w:rPr>
          <w:b/>
        </w:rPr>
        <w:t>April</w:t>
      </w:r>
      <w:r>
        <w:rPr>
          <w:b/>
        </w:rPr>
        <w:t xml:space="preserve"> 9, 202</w:t>
      </w:r>
      <w:r w:rsidR="00DB5913">
        <w:rPr>
          <w:b/>
        </w:rPr>
        <w:t>1</w:t>
      </w:r>
    </w:p>
    <w:p w14:paraId="6ACEE04E" w14:textId="77777777" w:rsidR="00086D4F" w:rsidRPr="009F2956" w:rsidRDefault="00086D4F" w:rsidP="00086D4F">
      <w:pPr>
        <w:tabs>
          <w:tab w:val="left" w:pos="5760"/>
        </w:tabs>
        <w:rPr>
          <w:b/>
        </w:rPr>
      </w:pPr>
    </w:p>
    <w:p w14:paraId="1D7FFC16" w14:textId="77777777" w:rsidR="00086D4F" w:rsidRDefault="00086D4F" w:rsidP="00086D4F"/>
    <w:p w14:paraId="51F69342" w14:textId="77777777" w:rsidR="00356BD8" w:rsidRPr="00086D4F" w:rsidRDefault="00356BD8" w:rsidP="00086D4F"/>
    <w:sectPr w:rsidR="00356BD8" w:rsidRPr="00086D4F" w:rsidSect="00467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BA"/>
    <w:rsid w:val="00003C68"/>
    <w:rsid w:val="00086D4F"/>
    <w:rsid w:val="001345FC"/>
    <w:rsid w:val="00157534"/>
    <w:rsid w:val="0019413B"/>
    <w:rsid w:val="0021268E"/>
    <w:rsid w:val="00263216"/>
    <w:rsid w:val="002637D5"/>
    <w:rsid w:val="00274AF7"/>
    <w:rsid w:val="002A4612"/>
    <w:rsid w:val="002D25C4"/>
    <w:rsid w:val="00325498"/>
    <w:rsid w:val="00340992"/>
    <w:rsid w:val="003538FE"/>
    <w:rsid w:val="00356BD8"/>
    <w:rsid w:val="00395A6C"/>
    <w:rsid w:val="003A2810"/>
    <w:rsid w:val="003E22A1"/>
    <w:rsid w:val="003E5ACF"/>
    <w:rsid w:val="003F524F"/>
    <w:rsid w:val="003F66A7"/>
    <w:rsid w:val="00413097"/>
    <w:rsid w:val="004264C2"/>
    <w:rsid w:val="004677BA"/>
    <w:rsid w:val="00492B57"/>
    <w:rsid w:val="004A4B63"/>
    <w:rsid w:val="004E34A4"/>
    <w:rsid w:val="004F191B"/>
    <w:rsid w:val="00526AF8"/>
    <w:rsid w:val="00543B90"/>
    <w:rsid w:val="00556C33"/>
    <w:rsid w:val="005B6EC5"/>
    <w:rsid w:val="005D6237"/>
    <w:rsid w:val="006053F2"/>
    <w:rsid w:val="00623002"/>
    <w:rsid w:val="00623D8A"/>
    <w:rsid w:val="00640A34"/>
    <w:rsid w:val="0064202E"/>
    <w:rsid w:val="006455CE"/>
    <w:rsid w:val="00652437"/>
    <w:rsid w:val="006A0237"/>
    <w:rsid w:val="006A48E4"/>
    <w:rsid w:val="006B7ECB"/>
    <w:rsid w:val="00702176"/>
    <w:rsid w:val="00732841"/>
    <w:rsid w:val="00740651"/>
    <w:rsid w:val="00781BEC"/>
    <w:rsid w:val="00824A75"/>
    <w:rsid w:val="00884637"/>
    <w:rsid w:val="008959FE"/>
    <w:rsid w:val="008C11BF"/>
    <w:rsid w:val="008D205C"/>
    <w:rsid w:val="008E52C8"/>
    <w:rsid w:val="008F1CE1"/>
    <w:rsid w:val="00912A8B"/>
    <w:rsid w:val="0092263C"/>
    <w:rsid w:val="00943326"/>
    <w:rsid w:val="00991A63"/>
    <w:rsid w:val="009975E0"/>
    <w:rsid w:val="009C7CE5"/>
    <w:rsid w:val="00A044A9"/>
    <w:rsid w:val="00A509E4"/>
    <w:rsid w:val="00A718C1"/>
    <w:rsid w:val="00A825EE"/>
    <w:rsid w:val="00A92D2B"/>
    <w:rsid w:val="00AD3290"/>
    <w:rsid w:val="00AE44E3"/>
    <w:rsid w:val="00AE77DE"/>
    <w:rsid w:val="00B24E29"/>
    <w:rsid w:val="00B25C21"/>
    <w:rsid w:val="00B95140"/>
    <w:rsid w:val="00BD0476"/>
    <w:rsid w:val="00BE018F"/>
    <w:rsid w:val="00C13BCE"/>
    <w:rsid w:val="00C42446"/>
    <w:rsid w:val="00CC425F"/>
    <w:rsid w:val="00CC4627"/>
    <w:rsid w:val="00D4399B"/>
    <w:rsid w:val="00DA46F8"/>
    <w:rsid w:val="00DB5913"/>
    <w:rsid w:val="00DD71D4"/>
    <w:rsid w:val="00DE00B3"/>
    <w:rsid w:val="00E0685E"/>
    <w:rsid w:val="00E434FF"/>
    <w:rsid w:val="00E85B39"/>
    <w:rsid w:val="00E953BB"/>
    <w:rsid w:val="00EC1753"/>
    <w:rsid w:val="00EC3476"/>
    <w:rsid w:val="00EE1290"/>
    <w:rsid w:val="00F01E60"/>
    <w:rsid w:val="00F24998"/>
    <w:rsid w:val="00F25471"/>
    <w:rsid w:val="00F4169F"/>
    <w:rsid w:val="00F45B8F"/>
    <w:rsid w:val="00F52084"/>
    <w:rsid w:val="00F76D6A"/>
    <w:rsid w:val="00F80E89"/>
    <w:rsid w:val="00F94407"/>
    <w:rsid w:val="00FB57E0"/>
    <w:rsid w:val="00FC5CD1"/>
    <w:rsid w:val="00FD4E62"/>
    <w:rsid w:val="00FE07A5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1409"/>
  <w15:docId w15:val="{9EF16464-3B31-4261-8808-9D3951B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Wingdings"/>
        <w:kern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BA"/>
    <w:rPr>
      <w:strike w:val="0"/>
      <w:dstrike w:val="0"/>
      <w:color w:val="0033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677BA"/>
    <w:rPr>
      <w:b/>
      <w:bCs w:val="0"/>
    </w:rPr>
  </w:style>
  <w:style w:type="paragraph" w:styleId="Title">
    <w:name w:val="Title"/>
    <w:basedOn w:val="Normal"/>
    <w:link w:val="TitleChar"/>
    <w:qFormat/>
    <w:rsid w:val="004264C2"/>
    <w:pPr>
      <w:tabs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</w:tabs>
      <w:jc w:val="center"/>
    </w:pPr>
    <w:rPr>
      <w:rFonts w:ascii="Arial" w:eastAsia="Times New Roman" w:hAnsi="Arial" w:cs="Times New Roman"/>
      <w:b/>
      <w:bCs/>
      <w:kern w:val="0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4264C2"/>
    <w:rPr>
      <w:rFonts w:ascii="Arial" w:eastAsia="Times New Roman" w:hAnsi="Arial" w:cs="Times New Roman"/>
      <w:b/>
      <w:bCs/>
      <w:kern w:val="0"/>
      <w:sz w:val="22"/>
      <w:szCs w:val="24"/>
    </w:rPr>
  </w:style>
  <w:style w:type="paragraph" w:styleId="Subtitle">
    <w:name w:val="Subtitle"/>
    <w:basedOn w:val="Normal"/>
    <w:link w:val="SubtitleChar"/>
    <w:qFormat/>
    <w:rsid w:val="004264C2"/>
    <w:pPr>
      <w:jc w:val="center"/>
    </w:pPr>
    <w:rPr>
      <w:rFonts w:ascii="Arial" w:eastAsia="Times New Roman" w:hAnsi="Arial" w:cs="Times New Roman"/>
      <w:b/>
      <w:bCs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4264C2"/>
    <w:rPr>
      <w:rFonts w:ascii="Arial" w:eastAsia="Times New Roman" w:hAnsi="Arial" w:cs="Times New Roman"/>
      <w:b/>
      <w:bCs/>
      <w:kern w:val="0"/>
      <w:sz w:val="28"/>
    </w:rPr>
  </w:style>
  <w:style w:type="table" w:styleId="TableGrid">
    <w:name w:val="Table Grid"/>
    <w:basedOn w:val="TableNormal"/>
    <w:uiPriority w:val="59"/>
    <w:rsid w:val="00DB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EB53007A8DB41A954E8F8F144E105" ma:contentTypeVersion="6" ma:contentTypeDescription="Create a new document." ma:contentTypeScope="" ma:versionID="267666ff81c3f4aa20b2bc7aa74be6eb">
  <xsd:schema xmlns:xsd="http://www.w3.org/2001/XMLSchema" xmlns:xs="http://www.w3.org/2001/XMLSchema" xmlns:p="http://schemas.microsoft.com/office/2006/metadata/properties" xmlns:ns2="a700ad98-4487-43ac-9577-3ced81a0b25d" targetNamespace="http://schemas.microsoft.com/office/2006/metadata/properties" ma:root="true" ma:fieldsID="b52ab899baec01a40db5ab21a09c0707" ns2:_="">
    <xsd:import namespace="a700ad98-4487-43ac-9577-3ced81a0b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ad98-4487-43ac-9577-3ced81a0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6916-0CC2-4577-9B6B-9ADD49F2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0ad98-4487-43ac-9577-3ced81a0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6FAD3-DEAC-4822-95A2-DB3BA8D9C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8331C-DCB7-4D15-A986-ECEC2E174AB1}">
  <ds:schemaRefs>
    <ds:schemaRef ds:uri="a700ad98-4487-43ac-9577-3ced81a0b2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3F4E35-DF13-441A-B07D-BBE54F1C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1651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 Korup</dc:creator>
  <cp:lastModifiedBy>Danielle Nollett</cp:lastModifiedBy>
  <cp:revision>4</cp:revision>
  <cp:lastPrinted>2017-09-19T20:34:00Z</cp:lastPrinted>
  <dcterms:created xsi:type="dcterms:W3CDTF">2021-04-07T11:46:00Z</dcterms:created>
  <dcterms:modified xsi:type="dcterms:W3CDTF">2021-04-07T12:25:00Z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0x01010061FEB53007A8DB41A954E8F8F144E105</vt:lpwstr>
  </property>
</Properties>
</file>